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5195" w14:textId="35065998" w:rsidR="00D70DB7" w:rsidRDefault="00D70DB7" w:rsidP="00D70DB7">
      <w:pPr>
        <w:pStyle w:val="VertragNotarParagraph"/>
        <w:numPr>
          <w:ilvl w:val="0"/>
          <w:numId w:val="0"/>
        </w:numPr>
      </w:pPr>
      <w:r>
        <w:t xml:space="preserve">Aufnahme von Kindern und Beendigung des Betreuungsverhältnisses </w:t>
      </w:r>
      <w:r>
        <w:br/>
        <w:t xml:space="preserve">(§§ 17, 18 </w:t>
      </w:r>
      <w:proofErr w:type="spellStart"/>
      <w:r>
        <w:t>KiTaG</w:t>
      </w:r>
      <w:proofErr w:type="spellEnd"/>
      <w:r>
        <w:t>)</w:t>
      </w:r>
    </w:p>
    <w:p w14:paraId="70169A11" w14:textId="77777777" w:rsidR="00D70DB7" w:rsidRDefault="00D70DB7" w:rsidP="00D70DB7">
      <w:pPr>
        <w:pStyle w:val="VertragNotarAbsatz"/>
        <w:numPr>
          <w:ilvl w:val="1"/>
          <w:numId w:val="4"/>
        </w:numPr>
      </w:pPr>
      <w:r>
        <w:t xml:space="preserve">Die Aufnahme von Kindern und die Beendigung des Betreuungsverhältnisses bestimmt sich nach den §§ 17 und 18 </w:t>
      </w:r>
      <w:proofErr w:type="spellStart"/>
      <w:r>
        <w:t>KiTaG</w:t>
      </w:r>
      <w:proofErr w:type="spellEnd"/>
      <w:r>
        <w:t>.</w:t>
      </w:r>
    </w:p>
    <w:p w14:paraId="2E216F52" w14:textId="77777777" w:rsidR="00D70DB7" w:rsidRDefault="00D70DB7" w:rsidP="00D70DB7">
      <w:pPr>
        <w:pStyle w:val="VertragNotarAbsatz"/>
        <w:numPr>
          <w:ilvl w:val="1"/>
          <w:numId w:val="4"/>
        </w:numPr>
      </w:pPr>
      <w:r>
        <w:t>Die Anmeldung eines Kindes soll möglichst drei Monate vor Beginn der Förderung erfolgen. Die Entscheidung über die Zuteilung eines Platzes erfolgt regelmäßig drei Monate vor Beginn des Kindergartenjahres bzw. bei unterjährig frei werdenden Plätze regelmäßig möglichst drei Monate vor dem Beginn der Förderung.</w:t>
      </w:r>
    </w:p>
    <w:p w14:paraId="53B85B0E" w14:textId="77777777" w:rsidR="00D70DB7" w:rsidRDefault="00D70DB7" w:rsidP="00D70DB7">
      <w:pPr>
        <w:pStyle w:val="VertragNotarAbsatz"/>
        <w:numPr>
          <w:ilvl w:val="1"/>
          <w:numId w:val="4"/>
        </w:numPr>
      </w:pPr>
      <w:r>
        <w:t xml:space="preserve">Übersteigt die Zahl der Anmeldung die Zahl der Plätze, erfolgt die Vergabe der Plätze nach nachfolgenden Aufnahmekriterien in aufsteigender Reihenfolge: </w:t>
      </w:r>
    </w:p>
    <w:p w14:paraId="6289FFC0" w14:textId="77777777" w:rsidR="00D70DB7" w:rsidRDefault="00D70DB7" w:rsidP="00D70DB7">
      <w:pPr>
        <w:pStyle w:val="VertragNotarKleinbstb"/>
        <w:numPr>
          <w:ilvl w:val="2"/>
          <w:numId w:val="2"/>
        </w:numPr>
        <w:spacing w:before="120" w:after="120"/>
      </w:pPr>
      <w:r>
        <w:t xml:space="preserve">Aufnahme von Geschwisterkindern, </w:t>
      </w:r>
    </w:p>
    <w:p w14:paraId="63255685" w14:textId="77777777" w:rsidR="00D70DB7" w:rsidRDefault="00D70DB7" w:rsidP="00D70DB7">
      <w:pPr>
        <w:pStyle w:val="VertragNotarKleinbstb"/>
        <w:numPr>
          <w:ilvl w:val="2"/>
          <w:numId w:val="2"/>
        </w:numPr>
        <w:spacing w:before="120" w:after="120"/>
      </w:pPr>
      <w:r>
        <w:t xml:space="preserve">Aufnahme von Kindern aus der Standortgemeinde, </w:t>
      </w:r>
    </w:p>
    <w:p w14:paraId="2A750A21" w14:textId="77777777" w:rsidR="00D70DB7" w:rsidRDefault="00D70DB7" w:rsidP="00D70DB7">
      <w:pPr>
        <w:pStyle w:val="VertragNotarKleinbstb"/>
        <w:numPr>
          <w:ilvl w:val="2"/>
          <w:numId w:val="2"/>
        </w:numPr>
        <w:spacing w:before="120" w:after="120"/>
      </w:pPr>
      <w:r>
        <w:t xml:space="preserve">Aufnahme von Kindern mit besonderem Förderbedarf, </w:t>
      </w:r>
    </w:p>
    <w:p w14:paraId="67125759" w14:textId="77777777" w:rsidR="00D70DB7" w:rsidRDefault="00D70DB7" w:rsidP="00D70DB7">
      <w:pPr>
        <w:pStyle w:val="VertragNotarKleinbstb"/>
        <w:numPr>
          <w:ilvl w:val="2"/>
          <w:numId w:val="2"/>
        </w:numPr>
        <w:spacing w:before="120" w:after="120"/>
      </w:pPr>
      <w:r>
        <w:t>Aufnahme von Kindern alleinerziehender Berufstätiger,</w:t>
      </w:r>
    </w:p>
    <w:p w14:paraId="45ADD67C" w14:textId="77777777" w:rsidR="00D70DB7" w:rsidRDefault="00D70DB7" w:rsidP="00D70DB7">
      <w:pPr>
        <w:pStyle w:val="VertragNotarKleinbstb"/>
        <w:numPr>
          <w:ilvl w:val="2"/>
          <w:numId w:val="2"/>
        </w:numPr>
        <w:spacing w:before="120" w:after="120"/>
      </w:pPr>
      <w:r>
        <w:t>Umfang der Berufstätigkeit der Eltern,</w:t>
      </w:r>
    </w:p>
    <w:p w14:paraId="390A3521" w14:textId="77777777" w:rsidR="00D70DB7" w:rsidRDefault="00D70DB7" w:rsidP="00D70DB7">
      <w:pPr>
        <w:pStyle w:val="VertragNotarKleinbstb"/>
        <w:numPr>
          <w:ilvl w:val="2"/>
          <w:numId w:val="2"/>
        </w:numPr>
        <w:spacing w:before="120" w:after="120"/>
      </w:pPr>
      <w:r>
        <w:t>sozialpädagogische Gründe (Kindeswohl, Pflegebedürftigkeit),</w:t>
      </w:r>
    </w:p>
    <w:p w14:paraId="57A503E9" w14:textId="77777777" w:rsidR="00D70DB7" w:rsidRDefault="00D70DB7" w:rsidP="00D70DB7">
      <w:pPr>
        <w:pStyle w:val="VertragNotarKleinbstb"/>
        <w:numPr>
          <w:ilvl w:val="2"/>
          <w:numId w:val="2"/>
        </w:numPr>
        <w:spacing w:before="120" w:after="120"/>
      </w:pPr>
      <w:r>
        <w:t>zuziehende Kinder.</w:t>
      </w:r>
    </w:p>
    <w:p w14:paraId="7093E213" w14:textId="77777777" w:rsidR="00D70DB7" w:rsidRDefault="00D70DB7" w:rsidP="00D70DB7">
      <w:pPr>
        <w:pStyle w:val="VertragNotarAbsatz"/>
        <w:numPr>
          <w:ilvl w:val="1"/>
          <w:numId w:val="4"/>
        </w:numPr>
      </w:pPr>
      <w:r>
        <w:t>Der Träger wird die Aufnahmekriterien in öffentlich zugänglicher Form, insbesondere in seinem Internet-Auftritt und in der KiTa-Datenbank bekannt geben. Der Träger kann die Aufnahmekriterien unter Beteiligung der Elternvertretung und des KiTa-Beirates anpassen. Der Gemeinde ist vor einer Anpassung Gelegenheit zur Stellungnahme zu geben.</w:t>
      </w:r>
    </w:p>
    <w:p w14:paraId="7454EA56" w14:textId="77777777" w:rsidR="00D70DB7" w:rsidRDefault="00D70DB7" w:rsidP="00D70DB7">
      <w:pPr>
        <w:pStyle w:val="VertragNotarAbsatz"/>
        <w:numPr>
          <w:ilvl w:val="1"/>
          <w:numId w:val="4"/>
        </w:numPr>
      </w:pPr>
      <w:r>
        <w:t>Der Träger kann entscheiden, dass in einer Krippengruppe geförderte Kinder, die im Laufe eines Kindergartenjahres das 3. Lebensjahr beenden, bis zum Ende des Kindergartenjahres in der Krippengruppe gefördert werden.</w:t>
      </w:r>
    </w:p>
    <w:p w14:paraId="10D4F61E" w14:textId="79BB730B" w:rsidR="00B814E8" w:rsidRPr="00B814E8" w:rsidRDefault="00B814E8" w:rsidP="00B814E8">
      <w:pPr>
        <w:tabs>
          <w:tab w:val="left" w:pos="7980"/>
        </w:tabs>
        <w:rPr>
          <w:lang w:val="en-US"/>
        </w:rPr>
      </w:pPr>
    </w:p>
    <w:sectPr w:rsidR="00B814E8" w:rsidRPr="00B814E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30C3" w14:textId="77777777" w:rsidR="009163A4" w:rsidRDefault="009163A4" w:rsidP="00836EAF">
      <w:pPr>
        <w:spacing w:after="0" w:line="240" w:lineRule="auto"/>
      </w:pPr>
      <w:r>
        <w:separator/>
      </w:r>
    </w:p>
  </w:endnote>
  <w:endnote w:type="continuationSeparator" w:id="0">
    <w:p w14:paraId="22A5679C" w14:textId="77777777" w:rsidR="009163A4" w:rsidRDefault="009163A4" w:rsidP="0083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C6C" w14:textId="3FC0D5AE" w:rsidR="00B814E8" w:rsidRDefault="00B814E8">
    <w:pPr>
      <w:pStyle w:val="Fuzeile"/>
    </w:pPr>
    <w:r>
      <w:rPr>
        <w:noProof/>
        <w:lang w:eastAsia="de-DE"/>
      </w:rPr>
      <w:drawing>
        <wp:anchor distT="0" distB="0" distL="114300" distR="114300" simplePos="0" relativeHeight="251669504" behindDoc="0" locked="1" layoutInCell="1" allowOverlap="1" wp14:anchorId="63D2456E" wp14:editId="4F2C0335">
          <wp:simplePos x="0" y="0"/>
          <wp:positionH relativeFrom="column">
            <wp:posOffset>-861695</wp:posOffset>
          </wp:positionH>
          <wp:positionV relativeFrom="paragraph">
            <wp:posOffset>-613410</wp:posOffset>
          </wp:positionV>
          <wp:extent cx="7520940" cy="1167130"/>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rcRect l="3571" r="3571"/>
                  <a:stretch>
                    <a:fillRect/>
                  </a:stretch>
                </pic:blipFill>
                <pic:spPr bwMode="auto">
                  <a:xfrm>
                    <a:off x="0" y="0"/>
                    <a:ext cx="7520940" cy="1167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CDC5" w14:textId="77777777" w:rsidR="009163A4" w:rsidRDefault="009163A4" w:rsidP="00836EAF">
      <w:pPr>
        <w:spacing w:after="0" w:line="240" w:lineRule="auto"/>
      </w:pPr>
      <w:r>
        <w:separator/>
      </w:r>
    </w:p>
  </w:footnote>
  <w:footnote w:type="continuationSeparator" w:id="0">
    <w:p w14:paraId="2DC0E28F" w14:textId="77777777" w:rsidR="009163A4" w:rsidRDefault="009163A4" w:rsidP="0083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B36" w14:textId="77777777" w:rsidR="00836EAF" w:rsidRDefault="005E3EE3">
    <w:pPr>
      <w:pStyle w:val="Kopfzeile"/>
    </w:pPr>
    <w:r>
      <w:rPr>
        <w:noProof/>
        <w:lang w:eastAsia="de-DE"/>
      </w:rPr>
      <w:drawing>
        <wp:anchor distT="0" distB="0" distL="114300" distR="114300" simplePos="0" relativeHeight="251667456" behindDoc="1" locked="0" layoutInCell="1" allowOverlap="1" wp14:anchorId="7FCDCC2E" wp14:editId="151F051D">
          <wp:simplePos x="0" y="0"/>
          <wp:positionH relativeFrom="column">
            <wp:posOffset>1798320</wp:posOffset>
          </wp:positionH>
          <wp:positionV relativeFrom="page">
            <wp:posOffset>337671</wp:posOffset>
          </wp:positionV>
          <wp:extent cx="2259105" cy="872315"/>
          <wp:effectExtent l="0" t="0" r="8255" b="444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QUE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9105" cy="872315"/>
                  </a:xfrm>
                  <a:prstGeom prst="rect">
                    <a:avLst/>
                  </a:prstGeom>
                </pic:spPr>
              </pic:pic>
            </a:graphicData>
          </a:graphic>
          <wp14:sizeRelH relativeFrom="margin">
            <wp14:pctWidth>0</wp14:pctWidth>
          </wp14:sizeRelH>
          <wp14:sizeRelV relativeFrom="margin">
            <wp14:pctHeight>0</wp14:pctHeight>
          </wp14:sizeRelV>
        </wp:anchor>
      </w:drawing>
    </w:r>
    <w:r w:rsidR="00A139BC">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574"/>
    <w:multiLevelType w:val="multilevel"/>
    <w:tmpl w:val="99700910"/>
    <w:styleLink w:val="ListeNotar"/>
    <w:lvl w:ilvl="0">
      <w:start w:val="1"/>
      <w:numFmt w:val="decimal"/>
      <w:pStyle w:val="VertragNotarParagraph"/>
      <w:suff w:val="nothing"/>
      <w:lvlText w:val="§ %1"/>
      <w:lvlJc w:val="left"/>
      <w:pPr>
        <w:ind w:left="0" w:firstLine="0"/>
      </w:pPr>
      <w:rPr>
        <w:rFonts w:hint="default"/>
      </w:rPr>
    </w:lvl>
    <w:lvl w:ilvl="1">
      <w:start w:val="1"/>
      <w:numFmt w:val="decimal"/>
      <w:pStyle w:val="VertragNotarAbsatz"/>
      <w:lvlText w:val="(%2)"/>
      <w:lvlJc w:val="left"/>
      <w:pPr>
        <w:ind w:left="567" w:hanging="567"/>
      </w:pPr>
      <w:rPr>
        <w:rFonts w:hint="default"/>
      </w:rPr>
    </w:lvl>
    <w:lvl w:ilvl="2">
      <w:start w:val="1"/>
      <w:numFmt w:val="lowerLetter"/>
      <w:pStyle w:val="VertragNotarKleinbstb"/>
      <w:lvlText w:val="(%3)"/>
      <w:lvlJc w:val="left"/>
      <w:pPr>
        <w:ind w:left="993" w:hanging="567"/>
      </w:pPr>
      <w:rPr>
        <w:rFonts w:hint="default"/>
      </w:rPr>
    </w:lvl>
    <w:lvl w:ilvl="3">
      <w:start w:val="27"/>
      <w:numFmt w:val="lowerLetter"/>
      <w:pStyle w:val="VertragNotarDoppelKleinbstb"/>
      <w:lvlText w:val="(%4)"/>
      <w:lvlJc w:val="left"/>
      <w:pPr>
        <w:ind w:left="1701" w:hanging="567"/>
      </w:pPr>
      <w:rPr>
        <w:rFonts w:hint="default"/>
      </w:rPr>
    </w:lvl>
    <w:lvl w:ilvl="4">
      <w:start w:val="1"/>
      <w:numFmt w:val="lowerRoman"/>
      <w:pStyle w:val="VertragNotarKleinRoemisch"/>
      <w:lvlText w:val="(%5)"/>
      <w:lvlJc w:val="left"/>
      <w:pPr>
        <w:ind w:left="1701" w:hanging="567"/>
      </w:pPr>
      <w:rPr>
        <w:rFonts w:hint="default"/>
      </w:rPr>
    </w:lvl>
    <w:lvl w:ilvl="5">
      <w:start w:val="1"/>
      <w:numFmt w:val="decimal"/>
      <w:lvlRestart w:val="2"/>
      <w:lvlText w:val="%6."/>
      <w:lvlJc w:val="left"/>
      <w:pPr>
        <w:ind w:left="1134" w:hanging="567"/>
      </w:pPr>
      <w:rPr>
        <w:rFonts w:hint="default"/>
      </w:rPr>
    </w:lvl>
    <w:lvl w:ilvl="6">
      <w:start w:val="1"/>
      <w:numFmt w:val="decimal"/>
      <w:lvlRestart w:val="3"/>
      <w:lvlText w:val="%7."/>
      <w:lvlJc w:val="left"/>
      <w:pPr>
        <w:ind w:left="1701" w:hanging="567"/>
      </w:pPr>
      <w:rPr>
        <w:rFonts w:hint="default"/>
      </w:rPr>
    </w:lvl>
    <w:lvl w:ilvl="7">
      <w:start w:val="1"/>
      <w:numFmt w:val="lowerLetter"/>
      <w:lvlText w:val="%8."/>
      <w:lvlJc w:val="left"/>
      <w:pPr>
        <w:ind w:left="1701" w:hanging="567"/>
      </w:pPr>
      <w:rPr>
        <w:rFonts w:hint="default"/>
      </w:rPr>
    </w:lvl>
    <w:lvl w:ilvl="8">
      <w:start w:val="1"/>
      <w:numFmt w:val="lowerRoman"/>
      <w:lvlText w:val="%9."/>
      <w:lvlJc w:val="left"/>
      <w:pPr>
        <w:ind w:left="2268" w:hanging="567"/>
      </w:pPr>
      <w:rPr>
        <w:rFonts w:hint="default"/>
      </w:rPr>
    </w:lvl>
  </w:abstractNum>
  <w:abstractNum w:abstractNumId="1" w15:restartNumberingAfterBreak="0">
    <w:nsid w:val="4F036E68"/>
    <w:multiLevelType w:val="multilevel"/>
    <w:tmpl w:val="BDC23EDE"/>
    <w:lvl w:ilvl="0">
      <w:start w:val="1"/>
      <w:numFmt w:val="decimal"/>
      <w:suff w:val="nothing"/>
      <w:lvlText w:val="§ %1"/>
      <w:lvlJc w:val="left"/>
      <w:pPr>
        <w:ind w:left="0" w:firstLine="0"/>
      </w:pPr>
      <w:rPr>
        <w:rFonts w:hint="default"/>
      </w:rPr>
    </w:lvl>
    <w:lvl w:ilvl="1">
      <w:start w:val="1"/>
      <w:numFmt w:val="decimal"/>
      <w:lvlText w:val="(%2)"/>
      <w:lvlJc w:val="left"/>
      <w:pPr>
        <w:ind w:left="567" w:hanging="567"/>
      </w:pPr>
      <w:rPr>
        <w:rFonts w:hint="default"/>
      </w:rPr>
    </w:lvl>
    <w:lvl w:ilvl="2">
      <w:start w:val="1"/>
      <w:numFmt w:val="decimal"/>
      <w:lvlText w:val="%3."/>
      <w:lvlJc w:val="left"/>
      <w:pPr>
        <w:ind w:left="1134" w:hanging="567"/>
      </w:pPr>
      <w:rPr>
        <w:rFonts w:hint="default"/>
      </w:rPr>
    </w:lvl>
    <w:lvl w:ilvl="3">
      <w:start w:val="27"/>
      <w:numFmt w:val="lowerLetter"/>
      <w:lvlText w:val="(%4)"/>
      <w:lvlJc w:val="left"/>
      <w:pPr>
        <w:ind w:left="1701" w:hanging="567"/>
      </w:pPr>
      <w:rPr>
        <w:rFonts w:hint="default"/>
      </w:rPr>
    </w:lvl>
    <w:lvl w:ilvl="4">
      <w:start w:val="1"/>
      <w:numFmt w:val="lowerRoman"/>
      <w:lvlText w:val="(%5)"/>
      <w:lvlJc w:val="left"/>
      <w:pPr>
        <w:ind w:left="1701" w:hanging="567"/>
      </w:pPr>
      <w:rPr>
        <w:rFonts w:hint="default"/>
      </w:rPr>
    </w:lvl>
    <w:lvl w:ilvl="5">
      <w:start w:val="1"/>
      <w:numFmt w:val="decimal"/>
      <w:lvlRestart w:val="2"/>
      <w:lvlText w:val="%6."/>
      <w:lvlJc w:val="left"/>
      <w:pPr>
        <w:ind w:left="1134" w:hanging="567"/>
      </w:pPr>
      <w:rPr>
        <w:rFonts w:hint="default"/>
      </w:rPr>
    </w:lvl>
    <w:lvl w:ilvl="6">
      <w:start w:val="1"/>
      <w:numFmt w:val="decimal"/>
      <w:lvlRestart w:val="3"/>
      <w:lvlText w:val="%7."/>
      <w:lvlJc w:val="left"/>
      <w:pPr>
        <w:ind w:left="1701" w:hanging="567"/>
      </w:pPr>
      <w:rPr>
        <w:rFonts w:hint="default"/>
      </w:rPr>
    </w:lvl>
    <w:lvl w:ilvl="7">
      <w:start w:val="1"/>
      <w:numFmt w:val="lowerLetter"/>
      <w:lvlText w:val="%8."/>
      <w:lvlJc w:val="left"/>
      <w:pPr>
        <w:ind w:left="1701" w:hanging="567"/>
      </w:pPr>
      <w:rPr>
        <w:rFonts w:hint="default"/>
      </w:rPr>
    </w:lvl>
    <w:lvl w:ilvl="8">
      <w:start w:val="1"/>
      <w:numFmt w:val="lowerRoman"/>
      <w:lvlText w:val="%9."/>
      <w:lvlJc w:val="left"/>
      <w:pPr>
        <w:ind w:left="2268" w:hanging="567"/>
      </w:pPr>
      <w:rPr>
        <w:rFonts w:hint="default"/>
      </w:rPr>
    </w:lvl>
  </w:abstractNum>
  <w:num w:numId="1" w16cid:durableId="217326148">
    <w:abstractNumId w:val="0"/>
    <w:lvlOverride w:ilvl="1">
      <w:lvl w:ilvl="1">
        <w:start w:val="1"/>
        <w:numFmt w:val="decimal"/>
        <w:pStyle w:val="VertragNotarAbsatz"/>
        <w:lvlText w:val="(%2)"/>
        <w:lvlJc w:val="left"/>
        <w:pPr>
          <w:ind w:left="567" w:hanging="567"/>
        </w:pPr>
        <w:rPr>
          <w:rFonts w:hint="default"/>
          <w:color w:val="auto"/>
        </w:rPr>
      </w:lvl>
    </w:lvlOverride>
    <w:lvlOverride w:ilvl="2">
      <w:lvl w:ilvl="2">
        <w:start w:val="1"/>
        <w:numFmt w:val="lowerLetter"/>
        <w:pStyle w:val="VertragNotarKleinbstb"/>
        <w:lvlText w:val="(%3)"/>
        <w:lvlJc w:val="left"/>
        <w:pPr>
          <w:ind w:left="993" w:hanging="567"/>
        </w:pPr>
        <w:rPr>
          <w:rFonts w:hint="default"/>
          <w:color w:val="auto"/>
        </w:rPr>
      </w:lvl>
    </w:lvlOverride>
  </w:num>
  <w:num w:numId="2" w16cid:durableId="785930994">
    <w:abstractNumId w:val="1"/>
  </w:num>
  <w:num w:numId="3" w16cid:durableId="1997802955">
    <w:abstractNumId w:val="0"/>
  </w:num>
  <w:num w:numId="4" w16cid:durableId="277614123">
    <w:abstractNumId w:val="0"/>
    <w:lvlOverride w:ilvl="1">
      <w:lvl w:ilvl="1">
        <w:start w:val="1"/>
        <w:numFmt w:val="decimal"/>
        <w:pStyle w:val="VertragNotarAbsatz"/>
        <w:lvlText w:val="(%2)"/>
        <w:lvlJc w:val="left"/>
        <w:pPr>
          <w:ind w:left="567" w:hanging="567"/>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AF"/>
    <w:rsid w:val="00026286"/>
    <w:rsid w:val="000A0BF4"/>
    <w:rsid w:val="000C0A75"/>
    <w:rsid w:val="00133532"/>
    <w:rsid w:val="001C71BF"/>
    <w:rsid w:val="00236F7C"/>
    <w:rsid w:val="00325727"/>
    <w:rsid w:val="00330499"/>
    <w:rsid w:val="003709DC"/>
    <w:rsid w:val="003B1EB2"/>
    <w:rsid w:val="00405422"/>
    <w:rsid w:val="004C1E60"/>
    <w:rsid w:val="005A0ACE"/>
    <w:rsid w:val="005D7475"/>
    <w:rsid w:val="005E3EE3"/>
    <w:rsid w:val="0064128A"/>
    <w:rsid w:val="00817D70"/>
    <w:rsid w:val="00825185"/>
    <w:rsid w:val="00826EF3"/>
    <w:rsid w:val="00836EAF"/>
    <w:rsid w:val="00872013"/>
    <w:rsid w:val="008A79E0"/>
    <w:rsid w:val="008B53D4"/>
    <w:rsid w:val="00914C3C"/>
    <w:rsid w:val="009163A4"/>
    <w:rsid w:val="009C561F"/>
    <w:rsid w:val="00A1289B"/>
    <w:rsid w:val="00A139BC"/>
    <w:rsid w:val="00A16041"/>
    <w:rsid w:val="00A4013C"/>
    <w:rsid w:val="00A4468E"/>
    <w:rsid w:val="00A47A99"/>
    <w:rsid w:val="00AE75B5"/>
    <w:rsid w:val="00B4018B"/>
    <w:rsid w:val="00B80410"/>
    <w:rsid w:val="00B814E8"/>
    <w:rsid w:val="00BE54D5"/>
    <w:rsid w:val="00CD7DC5"/>
    <w:rsid w:val="00CF4629"/>
    <w:rsid w:val="00D0558A"/>
    <w:rsid w:val="00D468B8"/>
    <w:rsid w:val="00D70DB7"/>
    <w:rsid w:val="00DA41F5"/>
    <w:rsid w:val="00DE672E"/>
    <w:rsid w:val="00DF5490"/>
    <w:rsid w:val="00EE1436"/>
    <w:rsid w:val="00F0089D"/>
    <w:rsid w:val="00F43C58"/>
    <w:rsid w:val="00F72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2CC9"/>
  <w15:chartTrackingRefBased/>
  <w15:docId w15:val="{386350BD-D0CC-4485-B98C-3204590D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6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6EAF"/>
  </w:style>
  <w:style w:type="paragraph" w:styleId="Fuzeile">
    <w:name w:val="footer"/>
    <w:basedOn w:val="Standard"/>
    <w:link w:val="FuzeileZchn"/>
    <w:uiPriority w:val="99"/>
    <w:unhideWhenUsed/>
    <w:rsid w:val="00836E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6EAF"/>
  </w:style>
  <w:style w:type="paragraph" w:styleId="Sprechblasentext">
    <w:name w:val="Balloon Text"/>
    <w:basedOn w:val="Standard"/>
    <w:link w:val="SprechblasentextZchn"/>
    <w:uiPriority w:val="99"/>
    <w:semiHidden/>
    <w:unhideWhenUsed/>
    <w:rsid w:val="009C5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561F"/>
    <w:rPr>
      <w:rFonts w:ascii="Segoe UI" w:hAnsi="Segoe UI" w:cs="Segoe UI"/>
      <w:sz w:val="18"/>
      <w:szCs w:val="18"/>
    </w:rPr>
  </w:style>
  <w:style w:type="character" w:styleId="Hyperlink">
    <w:name w:val="Hyperlink"/>
    <w:basedOn w:val="Absatz-Standardschriftart"/>
    <w:uiPriority w:val="99"/>
    <w:unhideWhenUsed/>
    <w:rsid w:val="00A139BC"/>
    <w:rPr>
      <w:color w:val="0563C1" w:themeColor="hyperlink"/>
      <w:u w:val="single"/>
    </w:rPr>
  </w:style>
  <w:style w:type="character" w:styleId="BesuchterLink">
    <w:name w:val="FollowedHyperlink"/>
    <w:basedOn w:val="Absatz-Standardschriftart"/>
    <w:uiPriority w:val="99"/>
    <w:semiHidden/>
    <w:unhideWhenUsed/>
    <w:rsid w:val="00CD7DC5"/>
    <w:rPr>
      <w:color w:val="954F72" w:themeColor="followedHyperlink"/>
      <w:u w:val="single"/>
    </w:rPr>
  </w:style>
  <w:style w:type="table" w:customStyle="1" w:styleId="Tabellenraster1">
    <w:name w:val="Tabellenraster1"/>
    <w:basedOn w:val="NormaleTabelle"/>
    <w:next w:val="Tabellenraster"/>
    <w:uiPriority w:val="39"/>
    <w:rsid w:val="00B8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814E8"/>
    <w:pPr>
      <w:spacing w:after="0" w:line="240" w:lineRule="auto"/>
    </w:pPr>
  </w:style>
  <w:style w:type="table" w:styleId="Tabellenraster">
    <w:name w:val="Table Grid"/>
    <w:basedOn w:val="NormaleTabelle"/>
    <w:uiPriority w:val="39"/>
    <w:rsid w:val="00B8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tragNotarAbsatz">
    <w:name w:val="!VertragNotarAbsatz"/>
    <w:basedOn w:val="Standard"/>
    <w:link w:val="VertragNotarAbsatzZchn"/>
    <w:rsid w:val="00914C3C"/>
    <w:pPr>
      <w:numPr>
        <w:ilvl w:val="1"/>
        <w:numId w:val="1"/>
      </w:numPr>
      <w:tabs>
        <w:tab w:val="left" w:pos="567"/>
      </w:tabs>
      <w:spacing w:before="380" w:after="380" w:line="300" w:lineRule="auto"/>
      <w:jc w:val="both"/>
    </w:pPr>
    <w:rPr>
      <w:rFonts w:ascii="Arial" w:hAnsi="Arial" w:cs="Arial"/>
      <w:szCs w:val="24"/>
    </w:rPr>
  </w:style>
  <w:style w:type="character" w:customStyle="1" w:styleId="VertragNotarAbsatzZchn">
    <w:name w:val="!VertragNotarAbsatz Zchn"/>
    <w:basedOn w:val="Absatz-Standardschriftart"/>
    <w:link w:val="VertragNotarAbsatz"/>
    <w:rsid w:val="00914C3C"/>
    <w:rPr>
      <w:rFonts w:ascii="Arial" w:hAnsi="Arial" w:cs="Arial"/>
      <w:szCs w:val="24"/>
    </w:rPr>
  </w:style>
  <w:style w:type="paragraph" w:customStyle="1" w:styleId="VertragNotarKleinbstb">
    <w:name w:val="!VertragNotarKleinbstb"/>
    <w:basedOn w:val="VertragNotarAbsatz"/>
    <w:link w:val="VertragNotarKleinbstbZchn"/>
    <w:rsid w:val="00914C3C"/>
    <w:pPr>
      <w:numPr>
        <w:ilvl w:val="2"/>
      </w:numPr>
      <w:tabs>
        <w:tab w:val="clear" w:pos="567"/>
        <w:tab w:val="left" w:pos="1134"/>
      </w:tabs>
      <w:ind w:left="1134"/>
    </w:pPr>
  </w:style>
  <w:style w:type="character" w:customStyle="1" w:styleId="VertragNotarKleinbstbZchn">
    <w:name w:val="!VertragNotarKleinbstb Zchn"/>
    <w:basedOn w:val="VertragNotarAbsatzZchn"/>
    <w:link w:val="VertragNotarKleinbstb"/>
    <w:rsid w:val="00914C3C"/>
    <w:rPr>
      <w:rFonts w:ascii="Arial" w:hAnsi="Arial" w:cs="Arial"/>
      <w:szCs w:val="24"/>
    </w:rPr>
  </w:style>
  <w:style w:type="paragraph" w:customStyle="1" w:styleId="VertragNotarDoppelKleinbstb">
    <w:name w:val="!VertragNotarDoppelKleinbstb"/>
    <w:basedOn w:val="VertragNotarKleinbstb"/>
    <w:rsid w:val="00914C3C"/>
    <w:pPr>
      <w:numPr>
        <w:ilvl w:val="3"/>
      </w:numPr>
      <w:tabs>
        <w:tab w:val="clear" w:pos="1134"/>
        <w:tab w:val="num" w:pos="360"/>
        <w:tab w:val="left" w:pos="1701"/>
      </w:tabs>
    </w:pPr>
    <w:rPr>
      <w:rFonts w:eastAsia="Times New Roman"/>
      <w:lang w:eastAsia="de-DE"/>
    </w:rPr>
  </w:style>
  <w:style w:type="paragraph" w:customStyle="1" w:styleId="VertragNotarKleinRoemisch">
    <w:name w:val="!VertragNotarKleinRoemisch"/>
    <w:basedOn w:val="VertragNotarDoppelKleinbstb"/>
    <w:rsid w:val="00914C3C"/>
    <w:pPr>
      <w:numPr>
        <w:ilvl w:val="4"/>
      </w:numPr>
      <w:tabs>
        <w:tab w:val="num" w:pos="360"/>
      </w:tabs>
    </w:pPr>
  </w:style>
  <w:style w:type="paragraph" w:customStyle="1" w:styleId="VertragNotarParagraph">
    <w:name w:val="!VertragNotarParagraph"/>
    <w:basedOn w:val="Standard"/>
    <w:next w:val="VertragNotarAbsatz"/>
    <w:link w:val="VertragNotarParagraphZchn"/>
    <w:rsid w:val="00914C3C"/>
    <w:pPr>
      <w:keepNext/>
      <w:numPr>
        <w:numId w:val="1"/>
      </w:numPr>
      <w:spacing w:before="720" w:after="380" w:line="300" w:lineRule="auto"/>
      <w:jc w:val="center"/>
      <w:outlineLvl w:val="0"/>
    </w:pPr>
    <w:rPr>
      <w:rFonts w:ascii="Arial" w:hAnsi="Arial" w:cs="Arial"/>
      <w:b/>
      <w:szCs w:val="24"/>
    </w:rPr>
  </w:style>
  <w:style w:type="character" w:customStyle="1" w:styleId="VertragNotarParagraphZchn">
    <w:name w:val="!VertragNotarParagraph Zchn"/>
    <w:basedOn w:val="Absatz-Standardschriftart"/>
    <w:link w:val="VertragNotarParagraph"/>
    <w:rsid w:val="00914C3C"/>
    <w:rPr>
      <w:rFonts w:ascii="Arial" w:hAnsi="Arial" w:cs="Arial"/>
      <w:b/>
      <w:szCs w:val="24"/>
    </w:rPr>
  </w:style>
  <w:style w:type="numbering" w:customStyle="1" w:styleId="ListeNotar">
    <w:name w:val="ListeNotar"/>
    <w:basedOn w:val="KeineListe"/>
    <w:uiPriority w:val="99"/>
    <w:rsid w:val="00914C3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8979">
      <w:bodyDiv w:val="1"/>
      <w:marLeft w:val="0"/>
      <w:marRight w:val="0"/>
      <w:marTop w:val="0"/>
      <w:marBottom w:val="0"/>
      <w:divBdr>
        <w:top w:val="none" w:sz="0" w:space="0" w:color="auto"/>
        <w:left w:val="none" w:sz="0" w:space="0" w:color="auto"/>
        <w:bottom w:val="none" w:sz="0" w:space="0" w:color="auto"/>
        <w:right w:val="none" w:sz="0" w:space="0" w:color="auto"/>
      </w:divBdr>
    </w:div>
    <w:div w:id="478306287">
      <w:bodyDiv w:val="1"/>
      <w:marLeft w:val="0"/>
      <w:marRight w:val="0"/>
      <w:marTop w:val="0"/>
      <w:marBottom w:val="0"/>
      <w:divBdr>
        <w:top w:val="none" w:sz="0" w:space="0" w:color="auto"/>
        <w:left w:val="none" w:sz="0" w:space="0" w:color="auto"/>
        <w:bottom w:val="none" w:sz="0" w:space="0" w:color="auto"/>
        <w:right w:val="none" w:sz="0" w:space="0" w:color="auto"/>
      </w:divBdr>
    </w:div>
    <w:div w:id="554586938">
      <w:bodyDiv w:val="1"/>
      <w:marLeft w:val="0"/>
      <w:marRight w:val="0"/>
      <w:marTop w:val="0"/>
      <w:marBottom w:val="0"/>
      <w:divBdr>
        <w:top w:val="none" w:sz="0" w:space="0" w:color="auto"/>
        <w:left w:val="none" w:sz="0" w:space="0" w:color="auto"/>
        <w:bottom w:val="none" w:sz="0" w:space="0" w:color="auto"/>
        <w:right w:val="none" w:sz="0" w:space="0" w:color="auto"/>
      </w:divBdr>
    </w:div>
    <w:div w:id="964698702">
      <w:bodyDiv w:val="1"/>
      <w:marLeft w:val="0"/>
      <w:marRight w:val="0"/>
      <w:marTop w:val="0"/>
      <w:marBottom w:val="0"/>
      <w:divBdr>
        <w:top w:val="none" w:sz="0" w:space="0" w:color="auto"/>
        <w:left w:val="none" w:sz="0" w:space="0" w:color="auto"/>
        <w:bottom w:val="none" w:sz="0" w:space="0" w:color="auto"/>
        <w:right w:val="none" w:sz="0" w:space="0" w:color="auto"/>
      </w:divBdr>
    </w:div>
    <w:div w:id="1143159508">
      <w:bodyDiv w:val="1"/>
      <w:marLeft w:val="0"/>
      <w:marRight w:val="0"/>
      <w:marTop w:val="0"/>
      <w:marBottom w:val="0"/>
      <w:divBdr>
        <w:top w:val="none" w:sz="0" w:space="0" w:color="auto"/>
        <w:left w:val="none" w:sz="0" w:space="0" w:color="auto"/>
        <w:bottom w:val="none" w:sz="0" w:space="0" w:color="auto"/>
        <w:right w:val="none" w:sz="0" w:space="0" w:color="auto"/>
      </w:divBdr>
    </w:div>
    <w:div w:id="12856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5A54-8809-446E-B80E-D29CD67B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Rahlf</dc:creator>
  <cp:keywords/>
  <dc:description/>
  <cp:lastModifiedBy>Annkatrin Jürs</cp:lastModifiedBy>
  <cp:revision>2</cp:revision>
  <cp:lastPrinted>2026-01-23T07:50:00Z</cp:lastPrinted>
  <dcterms:created xsi:type="dcterms:W3CDTF">2026-01-23T07:51:00Z</dcterms:created>
  <dcterms:modified xsi:type="dcterms:W3CDTF">2026-01-23T07:51:00Z</dcterms:modified>
</cp:coreProperties>
</file>